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 w:eastAsia="黑体"/>
          <w:sz w:val="40"/>
          <w:szCs w:val="40"/>
        </w:rPr>
        <w:t>2021年硕士研究生入学考试自命题考试大纲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hint="eastAsia" w:eastAsia="黑体"/>
          <w:sz w:val="28"/>
          <w:szCs w:val="28"/>
        </w:rPr>
        <w:t>考试科目代码：[ 334 ]            考试科目名称：新闻与传播专业综合能力</w:t>
      </w:r>
      <w:r>
        <w:rPr>
          <w:rFonts w:eastAsia="黑体"/>
          <w:sz w:val="28"/>
          <w:szCs w:val="28"/>
        </w:rPr>
        <w:t xml:space="preserve">       </w:t>
      </w:r>
      <w:r>
        <w:rPr>
          <w:rFonts w:eastAsia="方正书宋简体"/>
          <w:sz w:val="24"/>
        </w:rPr>
        <w:t xml:space="preserve">       </w:t>
      </w:r>
    </w:p>
    <w:p>
      <w:pPr>
        <w:spacing w:line="500" w:lineRule="exact"/>
        <w:jc w:val="center"/>
        <w:rPr>
          <w:rFonts w:ascii="黑体" w:hAnsi="黑体" w:eastAsia="黑体"/>
          <w:sz w:val="24"/>
        </w:rPr>
      </w:pP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一、试卷结构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1．试卷成绩及考试时间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  试卷满分为150分，考试时间为 180分钟。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2．答题方式：闭卷、笔试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3．试卷内容结构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新闻传播实务             </w:t>
      </w:r>
      <w:r>
        <w:rPr>
          <w:rFonts w:hint="eastAsia" w:eastAsia="黑体"/>
          <w:sz w:val="28"/>
          <w:szCs w:val="28"/>
          <w:lang w:val="en-US" w:eastAsia="zh-CN"/>
        </w:rPr>
        <w:t xml:space="preserve"> </w:t>
      </w:r>
      <w:r>
        <w:rPr>
          <w:rFonts w:hint="eastAsia" w:eastAsia="黑体"/>
          <w:sz w:val="28"/>
          <w:szCs w:val="28"/>
        </w:rPr>
        <w:t>50分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传播伦理与法规          40分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媒介经营管理实务       40分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广告</w:t>
      </w:r>
      <w:r>
        <w:rPr>
          <w:rFonts w:hint="eastAsia" w:eastAsia="黑体"/>
          <w:sz w:val="28"/>
          <w:szCs w:val="28"/>
          <w:lang w:eastAsia="zh-CN"/>
        </w:rPr>
        <w:t>实务</w:t>
      </w:r>
      <w:r>
        <w:rPr>
          <w:rFonts w:hint="eastAsia" w:eastAsia="黑体"/>
          <w:sz w:val="28"/>
          <w:szCs w:val="28"/>
        </w:rPr>
        <w:t xml:space="preserve">                 </w:t>
      </w:r>
      <w:r>
        <w:rPr>
          <w:rFonts w:hint="eastAsia" w:eastAsia="黑体"/>
          <w:sz w:val="28"/>
          <w:szCs w:val="28"/>
          <w:lang w:val="en-US" w:eastAsia="zh-CN"/>
        </w:rPr>
        <w:t xml:space="preserve">       </w:t>
      </w:r>
      <w:r>
        <w:rPr>
          <w:rFonts w:hint="eastAsia" w:eastAsia="黑体"/>
          <w:sz w:val="28"/>
          <w:szCs w:val="28"/>
        </w:rPr>
        <w:t>20分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4．题型结构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简  答  题： 2～3小题，每小题6～ 8分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论  述  题： 2～3小题，每小题10～15分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案例分析题： 1～2小题，每小题20～ 30分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综合运用题： 1～2小题，每小题35～45分</w:t>
      </w:r>
    </w:p>
    <w:p>
      <w:pPr>
        <w:tabs>
          <w:tab w:val="left" w:pos="1328"/>
        </w:tabs>
        <w:spacing w:beforeLines="50" w:afterLines="50" w:line="500" w:lineRule="exact"/>
        <w:rPr>
          <w:rFonts w:eastAsia="黑体"/>
          <w:sz w:val="28"/>
          <w:szCs w:val="28"/>
        </w:rPr>
      </w:pPr>
    </w:p>
    <w:p>
      <w:pPr>
        <w:spacing w:after="0" w:line="240" w:lineRule="auto"/>
        <w:ind w:firstLine="495" w:firstLineChars="17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二、考试目标与考试内容</w:t>
      </w:r>
    </w:p>
    <w:p>
      <w:pPr>
        <w:spacing w:line="500" w:lineRule="exact"/>
        <w:ind w:firstLine="562" w:firstLineChars="200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●考试目标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1．考察考生新闻采写编评的基本功和选题策划能力；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2．</w:t>
      </w:r>
      <w:r>
        <w:rPr>
          <w:rFonts w:eastAsia="黑体"/>
          <w:sz w:val="28"/>
          <w:szCs w:val="28"/>
        </w:rPr>
        <w:t>考察考生</w:t>
      </w:r>
      <w:r>
        <w:rPr>
          <w:rFonts w:hint="eastAsia" w:eastAsia="黑体"/>
          <w:sz w:val="28"/>
          <w:szCs w:val="28"/>
        </w:rPr>
        <w:t>的新闻传播职业道德意识和法律素养；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3．</w:t>
      </w:r>
      <w:r>
        <w:rPr>
          <w:rFonts w:eastAsia="黑体"/>
          <w:sz w:val="28"/>
          <w:szCs w:val="28"/>
        </w:rPr>
        <w:t>考察考生</w:t>
      </w:r>
      <w:r>
        <w:rPr>
          <w:rFonts w:hint="eastAsia" w:eastAsia="黑体"/>
          <w:sz w:val="28"/>
          <w:szCs w:val="28"/>
        </w:rPr>
        <w:t>媒介经营管理的能力与素养；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4．</w:t>
      </w:r>
      <w:r>
        <w:rPr>
          <w:rFonts w:eastAsia="黑体"/>
          <w:sz w:val="28"/>
          <w:szCs w:val="28"/>
        </w:rPr>
        <w:t>考察考生广告策划与文案</w:t>
      </w:r>
      <w:r>
        <w:rPr>
          <w:rFonts w:hint="eastAsia" w:eastAsia="黑体"/>
          <w:sz w:val="28"/>
          <w:szCs w:val="28"/>
        </w:rPr>
        <w:t>创作能力。</w:t>
      </w:r>
    </w:p>
    <w:p>
      <w:pPr>
        <w:spacing w:line="500" w:lineRule="exact"/>
        <w:ind w:firstLine="562" w:firstLineChars="200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●考试内容</w:t>
      </w:r>
    </w:p>
    <w:p>
      <w:pPr>
        <w:spacing w:line="500" w:lineRule="exact"/>
        <w:ind w:firstLine="562" w:firstLineChars="200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第一部分    新闻传播实务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（一）新闻采写基础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1．新闻采写的主要特征和基本原则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2．记者的修养与职业道德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3．新闻事实的识别与选择依据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4. 新闻报道的构成要件与文体类型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（二）新闻采访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1.新闻发现与新闻线索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2.新闻选题与采访策划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3.采访方式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（三）新闻写作的体裁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1.消息写作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2.通讯写作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3.特写写作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4.调查性报道、解释性报道、预测性报道、专题报道、系列报道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（四）新闻写作的类型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1.广播新闻写作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2. 电视新闻写作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3.网络新闻写作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4.融合报道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（五）新闻评论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1.传统新闻评论的特征与种类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2.网络新闻评论的特征与种类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3.新闻评论的选题与立意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4.新闻评论的论证和谋篇</w:t>
      </w:r>
    </w:p>
    <w:p>
      <w:pPr>
        <w:spacing w:line="500" w:lineRule="exact"/>
        <w:ind w:firstLine="562" w:firstLineChars="200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第二部分   传播伦理与法规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（一）传播伦理知识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1.  传播伦理理论的内涵与外延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2.  传播伦理失范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3．传播伦理规范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（二）传播法规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1.表达自由及其法律规制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2.大众传播与公民权利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3.大众传播与著作权</w:t>
      </w:r>
    </w:p>
    <w:p>
      <w:pPr>
        <w:spacing w:line="500" w:lineRule="exact"/>
        <w:ind w:firstLine="562" w:firstLineChars="200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 xml:space="preserve">第三部分  媒介经营管理实务  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（一）媒介</w:t>
      </w:r>
      <w:r>
        <w:rPr>
          <w:rFonts w:eastAsia="黑体"/>
          <w:sz w:val="28"/>
          <w:szCs w:val="28"/>
        </w:rPr>
        <w:t>概况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1.</w:t>
      </w:r>
      <w:r>
        <w:rPr>
          <w:rFonts w:eastAsia="黑体"/>
          <w:sz w:val="28"/>
          <w:szCs w:val="28"/>
        </w:rPr>
        <w:t>媒介环境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2.</w:t>
      </w:r>
      <w:r>
        <w:rPr>
          <w:rFonts w:hint="eastAsia" w:eastAsia="黑体"/>
          <w:sz w:val="28"/>
          <w:szCs w:val="28"/>
        </w:rPr>
        <w:t>媒介市场</w:t>
      </w:r>
    </w:p>
    <w:p>
      <w:pPr>
        <w:spacing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3</w:t>
      </w:r>
      <w:r>
        <w:rPr>
          <w:rFonts w:hint="eastAsia" w:eastAsia="黑体"/>
          <w:sz w:val="28"/>
          <w:szCs w:val="28"/>
        </w:rPr>
        <w:t>.媒介产业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4</w:t>
      </w:r>
      <w:r>
        <w:rPr>
          <w:rFonts w:hint="eastAsia" w:eastAsia="黑体"/>
          <w:sz w:val="28"/>
          <w:szCs w:val="28"/>
        </w:rPr>
        <w:t>.媒介组织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（二）媒介经营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1.媒介产品营销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2.媒介广告营销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（三）媒介管理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1.媒介品牌经营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2.媒介资本运营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3.媒介跨国经营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4.县级融媒体发展与内容生产要求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（四）媒介传播创新发展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1.数据新闻</w:t>
      </w:r>
      <w:r>
        <w:rPr>
          <w:rFonts w:eastAsia="黑体"/>
          <w:sz w:val="28"/>
          <w:szCs w:val="28"/>
        </w:rPr>
        <w:t>、融合新闻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2.机器人新闻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3．H5、VR新闻、新闻游戏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4.中央厨房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5.众包、众筹新闻</w:t>
      </w:r>
    </w:p>
    <w:p>
      <w:pPr>
        <w:spacing w:beforeLines="50" w:afterLines="50" w:line="500" w:lineRule="exact"/>
        <w:ind w:firstLine="562" w:firstLineChars="200"/>
        <w:jc w:val="both"/>
        <w:rPr>
          <w:rFonts w:hint="eastAsia" w:eastAsia="黑体"/>
          <w:b/>
          <w:sz w:val="28"/>
          <w:szCs w:val="28"/>
          <w:lang w:eastAsia="zh-CN"/>
        </w:rPr>
      </w:pPr>
      <w:r>
        <w:rPr>
          <w:rFonts w:hint="eastAsia" w:eastAsia="黑体"/>
          <w:b/>
          <w:sz w:val="28"/>
          <w:szCs w:val="28"/>
        </w:rPr>
        <w:t>第四部分  广告</w:t>
      </w:r>
      <w:r>
        <w:rPr>
          <w:rFonts w:hint="eastAsia" w:eastAsia="黑体"/>
          <w:b/>
          <w:sz w:val="28"/>
          <w:szCs w:val="28"/>
          <w:lang w:eastAsia="zh-CN"/>
        </w:rPr>
        <w:t>实务</w:t>
      </w:r>
      <w:bookmarkStart w:id="0" w:name="_GoBack"/>
      <w:bookmarkEnd w:id="0"/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（一）</w:t>
      </w:r>
      <w:r>
        <w:rPr>
          <w:rFonts w:eastAsia="黑体"/>
          <w:sz w:val="28"/>
          <w:szCs w:val="28"/>
        </w:rPr>
        <w:t>广告策划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1.</w:t>
      </w:r>
      <w:r>
        <w:rPr>
          <w:rFonts w:eastAsia="黑体"/>
          <w:sz w:val="28"/>
          <w:szCs w:val="28"/>
        </w:rPr>
        <w:t>广告策划方法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2.</w:t>
      </w:r>
      <w:r>
        <w:rPr>
          <w:rFonts w:eastAsia="黑体"/>
          <w:sz w:val="28"/>
          <w:szCs w:val="28"/>
        </w:rPr>
        <w:t>广告效益测算  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（二）</w:t>
      </w:r>
      <w:r>
        <w:rPr>
          <w:rFonts w:eastAsia="黑体"/>
          <w:sz w:val="28"/>
          <w:szCs w:val="28"/>
        </w:rPr>
        <w:t>广告文案写作  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1</w:t>
      </w:r>
      <w:r>
        <w:rPr>
          <w:rFonts w:hint="eastAsia" w:eastAsia="黑体"/>
          <w:sz w:val="28"/>
          <w:szCs w:val="28"/>
        </w:rPr>
        <w:t>.</w:t>
      </w:r>
      <w:r>
        <w:rPr>
          <w:rFonts w:eastAsia="黑体"/>
          <w:sz w:val="28"/>
          <w:szCs w:val="28"/>
        </w:rPr>
        <w:t>广告文案写作程序 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2.</w:t>
      </w:r>
      <w:r>
        <w:rPr>
          <w:rFonts w:eastAsia="黑体"/>
          <w:sz w:val="28"/>
          <w:szCs w:val="28"/>
        </w:rPr>
        <w:t>广告文案的语气与音韵 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b/>
          <w:sz w:val="28"/>
          <w:szCs w:val="28"/>
        </w:rPr>
      </w:pPr>
      <w:r>
        <w:rPr>
          <w:rFonts w:hint="eastAsia" w:eastAsia="黑体"/>
          <w:sz w:val="28"/>
          <w:szCs w:val="28"/>
        </w:rPr>
        <w:t>3.</w:t>
      </w:r>
      <w:r>
        <w:rPr>
          <w:rFonts w:eastAsia="黑体"/>
          <w:sz w:val="28"/>
          <w:szCs w:val="28"/>
        </w:rPr>
        <w:t>广告文案的修辞 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（三）</w:t>
      </w:r>
      <w:r>
        <w:rPr>
          <w:rFonts w:eastAsia="黑体"/>
          <w:sz w:val="28"/>
          <w:szCs w:val="28"/>
        </w:rPr>
        <w:t>广告</w:t>
      </w:r>
      <w:r>
        <w:rPr>
          <w:rFonts w:hint="eastAsia" w:eastAsia="黑体"/>
          <w:sz w:val="28"/>
          <w:szCs w:val="28"/>
        </w:rPr>
        <w:t>创意</w:t>
      </w:r>
      <w:r>
        <w:rPr>
          <w:rFonts w:eastAsia="黑体"/>
          <w:sz w:val="28"/>
          <w:szCs w:val="28"/>
        </w:rPr>
        <w:t>与表现 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1.</w:t>
      </w:r>
      <w:r>
        <w:rPr>
          <w:rFonts w:eastAsia="黑体"/>
          <w:sz w:val="28"/>
          <w:szCs w:val="28"/>
        </w:rPr>
        <w:t>电视广告创意 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2.</w:t>
      </w:r>
      <w:r>
        <w:rPr>
          <w:rFonts w:eastAsia="黑体"/>
          <w:sz w:val="28"/>
          <w:szCs w:val="28"/>
        </w:rPr>
        <w:t>广播广告创意 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3.</w:t>
      </w:r>
      <w:r>
        <w:rPr>
          <w:rFonts w:eastAsia="黑体"/>
          <w:sz w:val="28"/>
          <w:szCs w:val="28"/>
        </w:rPr>
        <w:t>摄影广告创意 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4.</w:t>
      </w:r>
      <w:r>
        <w:rPr>
          <w:rFonts w:eastAsia="黑体"/>
          <w:sz w:val="28"/>
          <w:szCs w:val="28"/>
        </w:rPr>
        <w:t>报刊广告创作 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5.</w:t>
      </w:r>
      <w:r>
        <w:rPr>
          <w:rFonts w:eastAsia="黑体"/>
          <w:sz w:val="28"/>
          <w:szCs w:val="28"/>
        </w:rPr>
        <w:t>橱窗广告创意 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b/>
          <w:sz w:val="28"/>
          <w:szCs w:val="28"/>
        </w:rPr>
      </w:pPr>
      <w:r>
        <w:rPr>
          <w:rFonts w:hint="eastAsia" w:eastAsia="黑体"/>
          <w:sz w:val="28"/>
          <w:szCs w:val="28"/>
        </w:rPr>
        <w:t>6.</w:t>
      </w:r>
      <w:r>
        <w:rPr>
          <w:rFonts w:eastAsia="黑体"/>
          <w:sz w:val="28"/>
          <w:szCs w:val="28"/>
        </w:rPr>
        <w:t>其他媒体广告创意 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书宋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949"/>
    <w:rsid w:val="000135B8"/>
    <w:rsid w:val="00021238"/>
    <w:rsid w:val="00027EE0"/>
    <w:rsid w:val="0003131A"/>
    <w:rsid w:val="000369B0"/>
    <w:rsid w:val="000404AC"/>
    <w:rsid w:val="000436AF"/>
    <w:rsid w:val="000574D6"/>
    <w:rsid w:val="00062D57"/>
    <w:rsid w:val="000665D5"/>
    <w:rsid w:val="00066DD6"/>
    <w:rsid w:val="0007669B"/>
    <w:rsid w:val="0007794D"/>
    <w:rsid w:val="00080C03"/>
    <w:rsid w:val="00087C21"/>
    <w:rsid w:val="00087F52"/>
    <w:rsid w:val="00091710"/>
    <w:rsid w:val="000A2F11"/>
    <w:rsid w:val="000A3C6A"/>
    <w:rsid w:val="000D769E"/>
    <w:rsid w:val="000E35BF"/>
    <w:rsid w:val="000E6F3F"/>
    <w:rsid w:val="00110177"/>
    <w:rsid w:val="00116C74"/>
    <w:rsid w:val="001330D7"/>
    <w:rsid w:val="0013334D"/>
    <w:rsid w:val="0016205C"/>
    <w:rsid w:val="00163D54"/>
    <w:rsid w:val="001725C3"/>
    <w:rsid w:val="00181158"/>
    <w:rsid w:val="00190665"/>
    <w:rsid w:val="00194889"/>
    <w:rsid w:val="001A6161"/>
    <w:rsid w:val="001C7B8E"/>
    <w:rsid w:val="001D0A89"/>
    <w:rsid w:val="001D153F"/>
    <w:rsid w:val="001D1868"/>
    <w:rsid w:val="001D3689"/>
    <w:rsid w:val="001E1AE5"/>
    <w:rsid w:val="001F5C85"/>
    <w:rsid w:val="001F67C3"/>
    <w:rsid w:val="00202F76"/>
    <w:rsid w:val="00206E65"/>
    <w:rsid w:val="00212456"/>
    <w:rsid w:val="0021792D"/>
    <w:rsid w:val="002412B0"/>
    <w:rsid w:val="002504ED"/>
    <w:rsid w:val="00251CBC"/>
    <w:rsid w:val="00255B84"/>
    <w:rsid w:val="00256855"/>
    <w:rsid w:val="00261938"/>
    <w:rsid w:val="00263EE8"/>
    <w:rsid w:val="00273341"/>
    <w:rsid w:val="002933F3"/>
    <w:rsid w:val="002A1D2E"/>
    <w:rsid w:val="002A4BBD"/>
    <w:rsid w:val="002B1A41"/>
    <w:rsid w:val="002B5AE5"/>
    <w:rsid w:val="002C6BD9"/>
    <w:rsid w:val="002C6E8E"/>
    <w:rsid w:val="002E4FFD"/>
    <w:rsid w:val="002F6261"/>
    <w:rsid w:val="003016AF"/>
    <w:rsid w:val="00306DC0"/>
    <w:rsid w:val="00312547"/>
    <w:rsid w:val="003148BB"/>
    <w:rsid w:val="00331D6D"/>
    <w:rsid w:val="003419B0"/>
    <w:rsid w:val="00356899"/>
    <w:rsid w:val="003748B6"/>
    <w:rsid w:val="00381F12"/>
    <w:rsid w:val="00395673"/>
    <w:rsid w:val="00397EC5"/>
    <w:rsid w:val="003C48BA"/>
    <w:rsid w:val="003D7241"/>
    <w:rsid w:val="003E1869"/>
    <w:rsid w:val="003F5BDB"/>
    <w:rsid w:val="004060F5"/>
    <w:rsid w:val="004072EC"/>
    <w:rsid w:val="0041305E"/>
    <w:rsid w:val="004131E4"/>
    <w:rsid w:val="00447FC9"/>
    <w:rsid w:val="00464A87"/>
    <w:rsid w:val="00471748"/>
    <w:rsid w:val="004717D5"/>
    <w:rsid w:val="0047297F"/>
    <w:rsid w:val="004736C3"/>
    <w:rsid w:val="00475EC8"/>
    <w:rsid w:val="004B0E87"/>
    <w:rsid w:val="004B4495"/>
    <w:rsid w:val="004B4EFF"/>
    <w:rsid w:val="004C39F5"/>
    <w:rsid w:val="004C5935"/>
    <w:rsid w:val="004E33F3"/>
    <w:rsid w:val="004E5087"/>
    <w:rsid w:val="004E693C"/>
    <w:rsid w:val="004F2B32"/>
    <w:rsid w:val="004F36BB"/>
    <w:rsid w:val="004F4767"/>
    <w:rsid w:val="004F5F4E"/>
    <w:rsid w:val="005069B6"/>
    <w:rsid w:val="00513129"/>
    <w:rsid w:val="00517A12"/>
    <w:rsid w:val="005253BD"/>
    <w:rsid w:val="00560E0F"/>
    <w:rsid w:val="00594837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600DA0"/>
    <w:rsid w:val="0060444C"/>
    <w:rsid w:val="006058C3"/>
    <w:rsid w:val="00620E67"/>
    <w:rsid w:val="00651F88"/>
    <w:rsid w:val="006541B0"/>
    <w:rsid w:val="00671390"/>
    <w:rsid w:val="00672539"/>
    <w:rsid w:val="00673670"/>
    <w:rsid w:val="00676AE8"/>
    <w:rsid w:val="00683272"/>
    <w:rsid w:val="00686D22"/>
    <w:rsid w:val="006A4B33"/>
    <w:rsid w:val="006C24D3"/>
    <w:rsid w:val="006C5124"/>
    <w:rsid w:val="006D6807"/>
    <w:rsid w:val="006D7798"/>
    <w:rsid w:val="006D7990"/>
    <w:rsid w:val="006F1EED"/>
    <w:rsid w:val="007056C2"/>
    <w:rsid w:val="007074E7"/>
    <w:rsid w:val="007149D2"/>
    <w:rsid w:val="00726096"/>
    <w:rsid w:val="00726B6E"/>
    <w:rsid w:val="007341F8"/>
    <w:rsid w:val="00750094"/>
    <w:rsid w:val="00755FC7"/>
    <w:rsid w:val="00756BAF"/>
    <w:rsid w:val="0078534B"/>
    <w:rsid w:val="007A10E6"/>
    <w:rsid w:val="007A4B18"/>
    <w:rsid w:val="007B18E2"/>
    <w:rsid w:val="007D2C33"/>
    <w:rsid w:val="007D52ED"/>
    <w:rsid w:val="007D6888"/>
    <w:rsid w:val="007E11BB"/>
    <w:rsid w:val="007E45B8"/>
    <w:rsid w:val="007E5579"/>
    <w:rsid w:val="007F57F5"/>
    <w:rsid w:val="007F635B"/>
    <w:rsid w:val="00800AF4"/>
    <w:rsid w:val="008067F6"/>
    <w:rsid w:val="0083746E"/>
    <w:rsid w:val="008418FB"/>
    <w:rsid w:val="0085155E"/>
    <w:rsid w:val="00852EEF"/>
    <w:rsid w:val="00856D27"/>
    <w:rsid w:val="00865905"/>
    <w:rsid w:val="00867407"/>
    <w:rsid w:val="00873234"/>
    <w:rsid w:val="00875922"/>
    <w:rsid w:val="0088452C"/>
    <w:rsid w:val="008861EA"/>
    <w:rsid w:val="008B244C"/>
    <w:rsid w:val="008C11FD"/>
    <w:rsid w:val="008C2D11"/>
    <w:rsid w:val="008C347D"/>
    <w:rsid w:val="008C4D7E"/>
    <w:rsid w:val="008C7F6A"/>
    <w:rsid w:val="008D26F1"/>
    <w:rsid w:val="008E3978"/>
    <w:rsid w:val="008E4172"/>
    <w:rsid w:val="008F0663"/>
    <w:rsid w:val="008F108C"/>
    <w:rsid w:val="008F55BE"/>
    <w:rsid w:val="008F5CA7"/>
    <w:rsid w:val="0090756C"/>
    <w:rsid w:val="00912FCF"/>
    <w:rsid w:val="0091463D"/>
    <w:rsid w:val="00924BB1"/>
    <w:rsid w:val="00932D12"/>
    <w:rsid w:val="00933BA5"/>
    <w:rsid w:val="009364D1"/>
    <w:rsid w:val="00950916"/>
    <w:rsid w:val="0095490F"/>
    <w:rsid w:val="009556CE"/>
    <w:rsid w:val="00963341"/>
    <w:rsid w:val="00964B39"/>
    <w:rsid w:val="00981531"/>
    <w:rsid w:val="00981B5F"/>
    <w:rsid w:val="00991182"/>
    <w:rsid w:val="009A7BF2"/>
    <w:rsid w:val="009B29AB"/>
    <w:rsid w:val="009C21CA"/>
    <w:rsid w:val="009D15F9"/>
    <w:rsid w:val="009E7D0C"/>
    <w:rsid w:val="009F7B87"/>
    <w:rsid w:val="00A14FC4"/>
    <w:rsid w:val="00A17558"/>
    <w:rsid w:val="00A24DE0"/>
    <w:rsid w:val="00A3145E"/>
    <w:rsid w:val="00A33BE7"/>
    <w:rsid w:val="00A34AFB"/>
    <w:rsid w:val="00A35822"/>
    <w:rsid w:val="00A4468D"/>
    <w:rsid w:val="00A518A4"/>
    <w:rsid w:val="00A55F7A"/>
    <w:rsid w:val="00A767FD"/>
    <w:rsid w:val="00A81F8C"/>
    <w:rsid w:val="00A8242B"/>
    <w:rsid w:val="00A831B2"/>
    <w:rsid w:val="00A858F1"/>
    <w:rsid w:val="00A86696"/>
    <w:rsid w:val="00A86C9A"/>
    <w:rsid w:val="00A927B5"/>
    <w:rsid w:val="00A93F1E"/>
    <w:rsid w:val="00A9736C"/>
    <w:rsid w:val="00A97979"/>
    <w:rsid w:val="00AB11D3"/>
    <w:rsid w:val="00AB25C1"/>
    <w:rsid w:val="00AF7E69"/>
    <w:rsid w:val="00B00093"/>
    <w:rsid w:val="00B171EE"/>
    <w:rsid w:val="00B17729"/>
    <w:rsid w:val="00B43347"/>
    <w:rsid w:val="00B52C70"/>
    <w:rsid w:val="00B52ECD"/>
    <w:rsid w:val="00B550FC"/>
    <w:rsid w:val="00B57D7E"/>
    <w:rsid w:val="00B62D5D"/>
    <w:rsid w:val="00B64F13"/>
    <w:rsid w:val="00B806D4"/>
    <w:rsid w:val="00B822CF"/>
    <w:rsid w:val="00B95084"/>
    <w:rsid w:val="00B96B96"/>
    <w:rsid w:val="00BA641D"/>
    <w:rsid w:val="00BB293D"/>
    <w:rsid w:val="00BB5CE8"/>
    <w:rsid w:val="00BC428E"/>
    <w:rsid w:val="00BD6EAF"/>
    <w:rsid w:val="00BE096D"/>
    <w:rsid w:val="00BE1D99"/>
    <w:rsid w:val="00BE2619"/>
    <w:rsid w:val="00BE64E0"/>
    <w:rsid w:val="00C03FE2"/>
    <w:rsid w:val="00C3760E"/>
    <w:rsid w:val="00C42928"/>
    <w:rsid w:val="00C60278"/>
    <w:rsid w:val="00C60B53"/>
    <w:rsid w:val="00C61E62"/>
    <w:rsid w:val="00C63A69"/>
    <w:rsid w:val="00C73154"/>
    <w:rsid w:val="00C81E79"/>
    <w:rsid w:val="00C84187"/>
    <w:rsid w:val="00C86964"/>
    <w:rsid w:val="00C920EA"/>
    <w:rsid w:val="00C93F6C"/>
    <w:rsid w:val="00CA00D4"/>
    <w:rsid w:val="00CA1E03"/>
    <w:rsid w:val="00CA7590"/>
    <w:rsid w:val="00CB1DCE"/>
    <w:rsid w:val="00CB3CE4"/>
    <w:rsid w:val="00CB72BA"/>
    <w:rsid w:val="00CB74AE"/>
    <w:rsid w:val="00CB7E8D"/>
    <w:rsid w:val="00CC0CEF"/>
    <w:rsid w:val="00CC411A"/>
    <w:rsid w:val="00CC753A"/>
    <w:rsid w:val="00CD01D2"/>
    <w:rsid w:val="00CD503D"/>
    <w:rsid w:val="00CD63B4"/>
    <w:rsid w:val="00CE54F2"/>
    <w:rsid w:val="00CE7EE4"/>
    <w:rsid w:val="00CF5308"/>
    <w:rsid w:val="00CF61EB"/>
    <w:rsid w:val="00CF6AEA"/>
    <w:rsid w:val="00D01786"/>
    <w:rsid w:val="00D1212A"/>
    <w:rsid w:val="00D4633B"/>
    <w:rsid w:val="00D46D3E"/>
    <w:rsid w:val="00D5014E"/>
    <w:rsid w:val="00D506E1"/>
    <w:rsid w:val="00D568A1"/>
    <w:rsid w:val="00D576F3"/>
    <w:rsid w:val="00D62ED6"/>
    <w:rsid w:val="00D67CD6"/>
    <w:rsid w:val="00D85726"/>
    <w:rsid w:val="00D869F0"/>
    <w:rsid w:val="00D90906"/>
    <w:rsid w:val="00D94645"/>
    <w:rsid w:val="00DA0D1B"/>
    <w:rsid w:val="00DA6CD4"/>
    <w:rsid w:val="00DB2E24"/>
    <w:rsid w:val="00DC1DFD"/>
    <w:rsid w:val="00DC3951"/>
    <w:rsid w:val="00DC5F02"/>
    <w:rsid w:val="00DD4FD7"/>
    <w:rsid w:val="00DE397D"/>
    <w:rsid w:val="00DE445D"/>
    <w:rsid w:val="00DE7C20"/>
    <w:rsid w:val="00DF040D"/>
    <w:rsid w:val="00DF14D2"/>
    <w:rsid w:val="00E02E04"/>
    <w:rsid w:val="00E16148"/>
    <w:rsid w:val="00E23DEB"/>
    <w:rsid w:val="00E30B27"/>
    <w:rsid w:val="00E4469A"/>
    <w:rsid w:val="00E506F9"/>
    <w:rsid w:val="00E52751"/>
    <w:rsid w:val="00E56DCD"/>
    <w:rsid w:val="00E60CC4"/>
    <w:rsid w:val="00E65E3D"/>
    <w:rsid w:val="00E708D7"/>
    <w:rsid w:val="00E827A1"/>
    <w:rsid w:val="00E95949"/>
    <w:rsid w:val="00E973C5"/>
    <w:rsid w:val="00EB1965"/>
    <w:rsid w:val="00EC4525"/>
    <w:rsid w:val="00ED01C8"/>
    <w:rsid w:val="00EE7907"/>
    <w:rsid w:val="00F0301D"/>
    <w:rsid w:val="00F15BEA"/>
    <w:rsid w:val="00F2439C"/>
    <w:rsid w:val="00F2503C"/>
    <w:rsid w:val="00F2684D"/>
    <w:rsid w:val="00F36A83"/>
    <w:rsid w:val="00F7013B"/>
    <w:rsid w:val="00F71806"/>
    <w:rsid w:val="00F7181C"/>
    <w:rsid w:val="00F7387A"/>
    <w:rsid w:val="00F81393"/>
    <w:rsid w:val="00F82C7E"/>
    <w:rsid w:val="00F94676"/>
    <w:rsid w:val="00F94792"/>
    <w:rsid w:val="00F97D3C"/>
    <w:rsid w:val="00FA2AAD"/>
    <w:rsid w:val="00FC1F53"/>
    <w:rsid w:val="00FC356E"/>
    <w:rsid w:val="00FD3FE2"/>
    <w:rsid w:val="00FD4975"/>
    <w:rsid w:val="00FE16BC"/>
    <w:rsid w:val="00FE4CD9"/>
    <w:rsid w:val="00FE7B04"/>
    <w:rsid w:val="00FF3806"/>
    <w:rsid w:val="00FF652E"/>
    <w:rsid w:val="12A04CF7"/>
    <w:rsid w:val="1A51628F"/>
    <w:rsid w:val="1F992A75"/>
    <w:rsid w:val="236B57DB"/>
    <w:rsid w:val="2D5362F1"/>
    <w:rsid w:val="31E773D3"/>
    <w:rsid w:val="35172CA2"/>
    <w:rsid w:val="43606C4C"/>
    <w:rsid w:val="494F5CBB"/>
    <w:rsid w:val="4B403C58"/>
    <w:rsid w:val="4B7818A6"/>
    <w:rsid w:val="575A1DF9"/>
    <w:rsid w:val="593D5372"/>
    <w:rsid w:val="6A17019C"/>
    <w:rsid w:val="7442571C"/>
    <w:rsid w:val="7BFA24D6"/>
    <w:rsid w:val="7F3C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2"/>
    <w:basedOn w:val="1"/>
    <w:next w:val="1"/>
    <w:qFormat/>
    <w:uiPriority w:val="9"/>
    <w:pPr>
      <w:spacing w:before="100" w:beforeAutospacing="1" w:after="100" w:afterAutospacing="1"/>
      <w:outlineLvl w:val="1"/>
    </w:pPr>
    <w:rPr>
      <w:rFonts w:hint="eastAsia" w:ascii="宋体" w:hAnsi="宋体"/>
      <w:b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8"/>
    <w:unhideWhenUsed/>
    <w:qFormat/>
    <w:uiPriority w:val="99"/>
    <w:rPr>
      <w:sz w:val="20"/>
      <w:szCs w:val="20"/>
    </w:rPr>
  </w:style>
  <w:style w:type="paragraph" w:styleId="5">
    <w:name w:val="Balloon Text"/>
    <w:basedOn w:val="1"/>
    <w:link w:val="16"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header"/>
    <w:basedOn w:val="1"/>
    <w:link w:val="1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8">
    <w:name w:val="HTML Preformatted"/>
    <w:basedOn w:val="1"/>
    <w:link w:val="22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hAnsi="宋体" w:cs="宋体"/>
      <w:sz w:val="24"/>
      <w:szCs w:val="24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10">
    <w:name w:val="annotation subject"/>
    <w:basedOn w:val="4"/>
    <w:next w:val="4"/>
    <w:link w:val="17"/>
    <w:unhideWhenUsed/>
    <w:qFormat/>
    <w:uiPriority w:val="99"/>
    <w:rPr>
      <w:b/>
      <w:bCs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annotation reference"/>
    <w:unhideWhenUsed/>
    <w:qFormat/>
    <w:uiPriority w:val="99"/>
    <w:rPr>
      <w:sz w:val="16"/>
      <w:szCs w:val="16"/>
    </w:rPr>
  </w:style>
  <w:style w:type="character" w:customStyle="1" w:styleId="15">
    <w:name w:val="页脚 Char"/>
    <w:basedOn w:val="12"/>
    <w:link w:val="6"/>
    <w:qFormat/>
    <w:uiPriority w:val="99"/>
  </w:style>
  <w:style w:type="character" w:customStyle="1" w:styleId="16">
    <w:name w:val="批注框文本 Char"/>
    <w:link w:val="5"/>
    <w:semiHidden/>
    <w:qFormat/>
    <w:uiPriority w:val="99"/>
    <w:rPr>
      <w:rFonts w:ascii="微软雅黑" w:eastAsia="微软雅黑"/>
      <w:sz w:val="18"/>
      <w:szCs w:val="18"/>
    </w:rPr>
  </w:style>
  <w:style w:type="character" w:customStyle="1" w:styleId="17">
    <w:name w:val="批注主题 Char"/>
    <w:link w:val="10"/>
    <w:semiHidden/>
    <w:qFormat/>
    <w:uiPriority w:val="99"/>
    <w:rPr>
      <w:b/>
      <w:bCs/>
    </w:rPr>
  </w:style>
  <w:style w:type="character" w:customStyle="1" w:styleId="18">
    <w:name w:val="批注文字 Char"/>
    <w:basedOn w:val="12"/>
    <w:link w:val="4"/>
    <w:semiHidden/>
    <w:qFormat/>
    <w:uiPriority w:val="99"/>
  </w:style>
  <w:style w:type="character" w:customStyle="1" w:styleId="19">
    <w:name w:val="页眉 Char"/>
    <w:basedOn w:val="12"/>
    <w:link w:val="7"/>
    <w:qFormat/>
    <w:uiPriority w:val="99"/>
  </w:style>
  <w:style w:type="paragraph" w:customStyle="1" w:styleId="20">
    <w:name w:val="列出段落1"/>
    <w:basedOn w:val="1"/>
    <w:qFormat/>
    <w:uiPriority w:val="0"/>
    <w:pPr>
      <w:ind w:firstLine="420" w:firstLineChars="200"/>
    </w:pPr>
  </w:style>
  <w:style w:type="character" w:customStyle="1" w:styleId="21">
    <w:name w:val="apple-converted-space"/>
    <w:basedOn w:val="12"/>
    <w:qFormat/>
    <w:uiPriority w:val="0"/>
  </w:style>
  <w:style w:type="character" w:customStyle="1" w:styleId="22">
    <w:name w:val="HTML 预设格式 Char"/>
    <w:basedOn w:val="12"/>
    <w:link w:val="8"/>
    <w:semiHidden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181</Words>
  <Characters>1038</Characters>
  <Lines>8</Lines>
  <Paragraphs>2</Paragraphs>
  <TotalTime>4</TotalTime>
  <ScaleCrop>false</ScaleCrop>
  <LinksUpToDate>false</LinksUpToDate>
  <CharactersWithSpaces>1217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2019-08-31T16:48:00Z</dcterms:created>
  <dc:creator>Jianjiang</dc:creator>
  <cp:lastModifiedBy>李Ren</cp:lastModifiedBy>
  <dcterms:modified xsi:type="dcterms:W3CDTF">2020-07-20T08:26:01Z</dcterms:modified>
  <dc:title>西方经济学部分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KSORubyTemplateID">
    <vt:lpwstr>6</vt:lpwstr>
  </property>
</Properties>
</file>