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BA1" w:rsidRDefault="00684012">
      <w:pPr>
        <w:spacing w:line="500" w:lineRule="exact"/>
        <w:jc w:val="center"/>
        <w:rPr>
          <w:rFonts w:eastAsia="黑体"/>
          <w:sz w:val="40"/>
          <w:szCs w:val="40"/>
        </w:rPr>
      </w:pPr>
      <w:r>
        <w:rPr>
          <w:rFonts w:hint="eastAsia"/>
          <w:sz w:val="40"/>
          <w:szCs w:val="40"/>
          <w:lang w:bidi="hi-IN"/>
        </w:rPr>
        <w:t>202</w:t>
      </w:r>
      <w:r w:rsidR="008050E5">
        <w:rPr>
          <w:sz w:val="40"/>
          <w:szCs w:val="40"/>
          <w:lang w:bidi="hi-IN"/>
        </w:rPr>
        <w:t>4</w:t>
      </w:r>
      <w:r>
        <w:rPr>
          <w:rFonts w:eastAsia="黑体"/>
          <w:sz w:val="40"/>
          <w:szCs w:val="40"/>
        </w:rPr>
        <w:t>年硕士研究生入学考试自命题考试大纲</w:t>
      </w:r>
    </w:p>
    <w:p w:rsidR="00500BA1" w:rsidRPr="00F05127" w:rsidRDefault="00684012">
      <w:pPr>
        <w:spacing w:line="500" w:lineRule="exact"/>
        <w:jc w:val="center"/>
        <w:rPr>
          <w:rFonts w:ascii="宋体" w:hAnsi="宋体"/>
          <w:b/>
          <w:sz w:val="28"/>
          <w:szCs w:val="28"/>
        </w:rPr>
      </w:pPr>
      <w:r w:rsidRPr="00F05127">
        <w:rPr>
          <w:rFonts w:ascii="宋体" w:hAnsi="宋体"/>
          <w:b/>
          <w:sz w:val="28"/>
          <w:szCs w:val="28"/>
        </w:rPr>
        <w:t>考试科目代码：[</w:t>
      </w:r>
      <w:r w:rsidR="00F05127">
        <w:rPr>
          <w:rFonts w:ascii="宋体" w:hAnsi="宋体" w:hint="eastAsia"/>
          <w:b/>
          <w:sz w:val="28"/>
          <w:szCs w:val="28"/>
        </w:rPr>
        <w:t xml:space="preserve">  </w:t>
      </w:r>
      <w:r w:rsidRPr="00F05127">
        <w:rPr>
          <w:rFonts w:ascii="宋体" w:hAnsi="宋体"/>
          <w:b/>
          <w:sz w:val="28"/>
          <w:szCs w:val="28"/>
        </w:rPr>
        <w:t>]               考试科目名称：</w:t>
      </w:r>
      <w:r w:rsidRPr="00F05127">
        <w:rPr>
          <w:rFonts w:ascii="宋体" w:hAnsi="宋体" w:hint="eastAsia"/>
          <w:b/>
          <w:sz w:val="28"/>
          <w:szCs w:val="28"/>
          <w:lang w:bidi="hi-IN"/>
        </w:rPr>
        <w:t>贸易经济学</w:t>
      </w:r>
    </w:p>
    <w:p w:rsidR="00500BA1" w:rsidRDefault="00684012">
      <w:pPr>
        <w:spacing w:beforeLines="50" w:before="180" w:afterLines="50" w:after="180" w:line="500" w:lineRule="exact"/>
        <w:ind w:firstLineChars="196" w:firstLine="630"/>
        <w:rPr>
          <w:rFonts w:ascii="黑体" w:eastAsia="黑体" w:hAnsi="黑体"/>
          <w:b/>
          <w:sz w:val="32"/>
          <w:szCs w:val="32"/>
        </w:rPr>
      </w:pPr>
      <w:r>
        <w:rPr>
          <w:rFonts w:ascii="黑体" w:eastAsia="黑体" w:hAnsi="黑体" w:hint="eastAsia"/>
          <w:b/>
          <w:sz w:val="32"/>
          <w:szCs w:val="32"/>
        </w:rPr>
        <w:t>一、试卷结构</w:t>
      </w:r>
    </w:p>
    <w:p w:rsidR="00500BA1" w:rsidRDefault="00684012">
      <w:pPr>
        <w:spacing w:beforeLines="50" w:before="180" w:afterLines="50" w:after="180" w:line="500" w:lineRule="exact"/>
        <w:ind w:firstLineChars="200" w:firstLine="560"/>
        <w:rPr>
          <w:rFonts w:ascii="仿宋" w:eastAsia="仿宋" w:hAnsi="仿宋" w:cs="仿宋"/>
          <w:sz w:val="28"/>
          <w:szCs w:val="28"/>
        </w:rPr>
      </w:pPr>
      <w:r>
        <w:rPr>
          <w:rFonts w:ascii="仿宋" w:eastAsia="仿宋" w:hAnsi="仿宋" w:cs="仿宋" w:hint="eastAsia"/>
          <w:sz w:val="28"/>
          <w:szCs w:val="28"/>
        </w:rPr>
        <w:t>1、试卷成绩及考试时间</w:t>
      </w:r>
    </w:p>
    <w:p w:rsidR="00500BA1" w:rsidRDefault="00684012">
      <w:pPr>
        <w:spacing w:beforeLines="50" w:before="180" w:afterLines="50" w:after="180" w:line="500" w:lineRule="exact"/>
        <w:ind w:firstLineChars="200" w:firstLine="560"/>
        <w:rPr>
          <w:rFonts w:ascii="仿宋" w:eastAsia="仿宋" w:hAnsi="仿宋" w:cs="仿宋"/>
          <w:sz w:val="28"/>
          <w:szCs w:val="28"/>
        </w:rPr>
      </w:pPr>
      <w:r>
        <w:rPr>
          <w:rFonts w:ascii="仿宋" w:eastAsia="仿宋" w:hAnsi="仿宋" w:cs="仿宋" w:hint="eastAsia"/>
          <w:sz w:val="28"/>
          <w:szCs w:val="28"/>
          <w:lang w:bidi="hi-IN"/>
        </w:rPr>
        <w:t>本试卷满分为150分，考试时间为120分钟。</w:t>
      </w:r>
    </w:p>
    <w:p w:rsidR="00500BA1" w:rsidRDefault="00684012">
      <w:pPr>
        <w:spacing w:beforeLines="50" w:before="180" w:afterLines="50" w:after="180" w:line="500" w:lineRule="exact"/>
        <w:ind w:firstLineChars="200" w:firstLine="560"/>
        <w:rPr>
          <w:rFonts w:ascii="仿宋" w:eastAsia="仿宋" w:hAnsi="仿宋" w:cs="仿宋"/>
          <w:sz w:val="28"/>
          <w:szCs w:val="28"/>
        </w:rPr>
      </w:pPr>
      <w:r>
        <w:rPr>
          <w:rFonts w:ascii="仿宋" w:eastAsia="仿宋" w:hAnsi="仿宋" w:cs="仿宋" w:hint="eastAsia"/>
          <w:sz w:val="28"/>
          <w:szCs w:val="28"/>
        </w:rPr>
        <w:t>2、答题方式：</w:t>
      </w:r>
      <w:r>
        <w:rPr>
          <w:rFonts w:ascii="仿宋" w:eastAsia="仿宋" w:hAnsi="仿宋" w:cs="仿宋" w:hint="eastAsia"/>
          <w:sz w:val="28"/>
          <w:szCs w:val="28"/>
          <w:lang w:bidi="hi-IN"/>
        </w:rPr>
        <w:t>闭卷、笔试</w:t>
      </w:r>
    </w:p>
    <w:p w:rsidR="00500BA1" w:rsidRDefault="00684012">
      <w:pPr>
        <w:spacing w:beforeLines="50" w:before="180" w:afterLines="50" w:after="180" w:line="500" w:lineRule="exact"/>
        <w:ind w:firstLineChars="200" w:firstLine="560"/>
        <w:rPr>
          <w:rFonts w:ascii="仿宋" w:eastAsia="仿宋" w:hAnsi="仿宋" w:cs="仿宋"/>
          <w:sz w:val="28"/>
          <w:szCs w:val="28"/>
        </w:rPr>
      </w:pPr>
      <w:r>
        <w:rPr>
          <w:rFonts w:ascii="仿宋" w:eastAsia="仿宋" w:hAnsi="仿宋" w:cs="仿宋" w:hint="eastAsia"/>
          <w:sz w:val="28"/>
          <w:szCs w:val="28"/>
        </w:rPr>
        <w:t>3、题型结构</w:t>
      </w:r>
    </w:p>
    <w:p w:rsidR="00500BA1" w:rsidRDefault="00684012">
      <w:pPr>
        <w:spacing w:beforeLines="50" w:before="180" w:afterLines="50" w:after="180" w:line="500" w:lineRule="exact"/>
        <w:ind w:firstLineChars="200" w:firstLine="560"/>
        <w:rPr>
          <w:rFonts w:ascii="仿宋" w:eastAsia="仿宋" w:hAnsi="仿宋" w:cs="仿宋"/>
          <w:sz w:val="28"/>
          <w:szCs w:val="28"/>
          <w:lang w:bidi="hi-IN"/>
        </w:rPr>
      </w:pPr>
      <w:r>
        <w:rPr>
          <w:rFonts w:ascii="仿宋" w:eastAsia="仿宋" w:hAnsi="仿宋" w:cs="仿宋" w:hint="eastAsia"/>
          <w:sz w:val="28"/>
          <w:szCs w:val="28"/>
          <w:lang w:bidi="hi-IN"/>
        </w:rPr>
        <w:t>论  述  题：4小题，每小题28分，共112分</w:t>
      </w:r>
    </w:p>
    <w:p w:rsidR="00500BA1" w:rsidRDefault="00684012">
      <w:pPr>
        <w:spacing w:beforeLines="50" w:before="180" w:afterLines="50" w:after="180" w:line="500" w:lineRule="exact"/>
        <w:ind w:firstLineChars="200" w:firstLine="560"/>
        <w:rPr>
          <w:rFonts w:ascii="仿宋" w:eastAsia="仿宋" w:hAnsi="仿宋" w:cs="仿宋"/>
          <w:sz w:val="28"/>
          <w:szCs w:val="28"/>
          <w:lang w:bidi="hi-IN"/>
        </w:rPr>
      </w:pPr>
      <w:r>
        <w:rPr>
          <w:rFonts w:ascii="仿宋" w:eastAsia="仿宋" w:hAnsi="仿宋" w:cs="仿宋" w:hint="eastAsia"/>
          <w:sz w:val="28"/>
          <w:szCs w:val="28"/>
          <w:lang w:bidi="hi-IN"/>
        </w:rPr>
        <w:t>分  析  题：1小题，每小题</w:t>
      </w:r>
      <w:bookmarkStart w:id="0" w:name="_GoBack"/>
      <w:r>
        <w:rPr>
          <w:rFonts w:ascii="仿宋" w:eastAsia="仿宋" w:hAnsi="仿宋" w:cs="仿宋" w:hint="eastAsia"/>
          <w:sz w:val="28"/>
          <w:szCs w:val="28"/>
          <w:lang w:bidi="hi-IN"/>
        </w:rPr>
        <w:t>38</w:t>
      </w:r>
      <w:bookmarkEnd w:id="0"/>
      <w:r>
        <w:rPr>
          <w:rFonts w:ascii="仿宋" w:eastAsia="仿宋" w:hAnsi="仿宋" w:cs="仿宋" w:hint="eastAsia"/>
          <w:sz w:val="28"/>
          <w:szCs w:val="28"/>
          <w:lang w:bidi="hi-IN"/>
        </w:rPr>
        <w:t>分，共38分</w:t>
      </w:r>
    </w:p>
    <w:p w:rsidR="00500BA1" w:rsidRDefault="00684012">
      <w:pPr>
        <w:spacing w:beforeLines="50" w:before="180" w:afterLines="50" w:after="180" w:line="500" w:lineRule="exact"/>
        <w:ind w:firstLineChars="196" w:firstLine="630"/>
        <w:rPr>
          <w:rFonts w:ascii="仿宋_GB2312" w:eastAsia="仿宋_GB2312" w:hAnsi="黑体"/>
          <w:b/>
          <w:sz w:val="32"/>
          <w:szCs w:val="32"/>
        </w:rPr>
      </w:pPr>
      <w:r>
        <w:rPr>
          <w:rFonts w:ascii="黑体" w:eastAsia="黑体" w:hAnsi="黑体" w:hint="eastAsia"/>
          <w:b/>
          <w:sz w:val="32"/>
          <w:szCs w:val="32"/>
        </w:rPr>
        <w:t>二、考试内容与考试要求</w:t>
      </w:r>
    </w:p>
    <w:p w:rsidR="00500BA1" w:rsidRDefault="00684012">
      <w:pPr>
        <w:spacing w:line="500" w:lineRule="exact"/>
        <w:ind w:firstLine="480"/>
        <w:rPr>
          <w:rFonts w:ascii="仿宋_GB2312" w:eastAsia="仿宋_GB2312"/>
          <w:b/>
          <w:sz w:val="32"/>
          <w:szCs w:val="32"/>
          <w:lang w:bidi="hi-IN"/>
        </w:rPr>
      </w:pPr>
      <w:r>
        <w:rPr>
          <w:rFonts w:ascii="仿宋_GB2312" w:eastAsia="仿宋_GB2312" w:hAnsi="宋体" w:hint="eastAsia"/>
          <w:b/>
          <w:sz w:val="32"/>
          <w:szCs w:val="32"/>
          <w:lang w:bidi="hi-IN"/>
        </w:rPr>
        <w:t>●考试目标：</w:t>
      </w:r>
    </w:p>
    <w:p w:rsidR="00500BA1" w:rsidRDefault="00684012">
      <w:pPr>
        <w:spacing w:beforeLines="50" w:before="180" w:afterLines="50" w:after="180" w:line="500" w:lineRule="exact"/>
        <w:ind w:firstLineChars="200" w:firstLine="560"/>
        <w:rPr>
          <w:rFonts w:ascii="仿宋" w:eastAsia="仿宋" w:hAnsi="仿宋" w:cs="仿宋"/>
          <w:sz w:val="28"/>
          <w:szCs w:val="28"/>
          <w:lang w:bidi="hi-IN"/>
        </w:rPr>
      </w:pPr>
      <w:r>
        <w:rPr>
          <w:rFonts w:ascii="仿宋" w:eastAsia="仿宋" w:hAnsi="仿宋" w:cs="仿宋" w:hint="eastAsia"/>
          <w:sz w:val="28"/>
          <w:szCs w:val="28"/>
          <w:lang w:bidi="hi-IN"/>
        </w:rPr>
        <w:t>1、系统掌握贸易经济学的基本知识、基本概念和基本理论。</w:t>
      </w:r>
    </w:p>
    <w:p w:rsidR="00500BA1" w:rsidRDefault="00684012">
      <w:pPr>
        <w:spacing w:beforeLines="50" w:before="180" w:afterLines="50" w:after="180" w:line="500" w:lineRule="exact"/>
        <w:ind w:firstLineChars="200" w:firstLine="560"/>
        <w:rPr>
          <w:rFonts w:ascii="仿宋" w:eastAsia="仿宋" w:hAnsi="仿宋" w:cs="仿宋"/>
          <w:sz w:val="28"/>
          <w:szCs w:val="28"/>
          <w:lang w:bidi="hi-IN"/>
        </w:rPr>
      </w:pPr>
      <w:r>
        <w:rPr>
          <w:rFonts w:ascii="仿宋" w:eastAsia="仿宋" w:hAnsi="仿宋" w:cs="仿宋" w:hint="eastAsia"/>
          <w:sz w:val="28"/>
          <w:szCs w:val="28"/>
          <w:lang w:bidi="hi-IN"/>
        </w:rPr>
        <w:t>2、理解贸易经济运动的规律，理解贸易经济的理论体系及其发展演变。</w:t>
      </w:r>
    </w:p>
    <w:p w:rsidR="00500BA1" w:rsidRDefault="00684012">
      <w:pPr>
        <w:spacing w:beforeLines="50" w:before="180" w:afterLines="50" w:after="180" w:line="500" w:lineRule="exact"/>
        <w:ind w:firstLineChars="200" w:firstLine="560"/>
        <w:rPr>
          <w:rFonts w:ascii="仿宋" w:eastAsia="仿宋" w:hAnsi="仿宋" w:cs="仿宋"/>
          <w:sz w:val="28"/>
          <w:szCs w:val="28"/>
          <w:lang w:bidi="hi-IN"/>
        </w:rPr>
      </w:pPr>
      <w:r>
        <w:rPr>
          <w:rFonts w:ascii="仿宋" w:eastAsia="仿宋" w:hAnsi="仿宋" w:cs="仿宋" w:hint="eastAsia"/>
          <w:sz w:val="28"/>
          <w:szCs w:val="28"/>
          <w:lang w:bidi="hi-IN"/>
        </w:rPr>
        <w:t>3、能够运用贸易经济学的基本理论和研究方法分析和解决现实贸易问题。</w:t>
      </w:r>
    </w:p>
    <w:p w:rsidR="00500BA1" w:rsidRDefault="00684012">
      <w:pPr>
        <w:spacing w:line="500" w:lineRule="exact"/>
        <w:ind w:firstLine="480"/>
        <w:rPr>
          <w:rFonts w:ascii="仿宋_GB2312" w:eastAsia="仿宋_GB2312" w:hAnsi="宋体"/>
          <w:b/>
          <w:sz w:val="32"/>
          <w:szCs w:val="32"/>
          <w:lang w:bidi="hi-IN"/>
        </w:rPr>
      </w:pPr>
      <w:r>
        <w:rPr>
          <w:rFonts w:ascii="仿宋_GB2312" w:eastAsia="仿宋_GB2312" w:hAnsi="宋体" w:hint="eastAsia"/>
          <w:b/>
          <w:sz w:val="32"/>
          <w:szCs w:val="32"/>
          <w:lang w:bidi="hi-IN"/>
        </w:rPr>
        <w:t>●考试内容</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（一）导论</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1.贸易理论演进。（1）马克思主义贸易理论。（2）西方贸易理论演进。（3）当代贸易理论简介。</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lastRenderedPageBreak/>
        <w:t>2.贸易经济学研究概述。</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3.贸易经济研究方法</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（二）贸易的产生与发展</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1、贸易活动的产生及条件。</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2、贸易活动的发展。（1）西方古代贸易的发展。（2）西方现代贸易的发展及特点。（3）中国古代贸易的特点。</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3、贸易在社会经济中的地位与作用。（1）生产与交换的关系。（2）分配与交换的关系。（3）消费与交换的关系。</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（三）贸易与市场</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1、市场是贸易的载体。（1）市场的多种含义.（2）市场的类型。（3）市场的基本功能。</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2、市场供求与贸易。（1）市场供给的分析。（2）市场需求的分析。（3）贸易以及市场供求规律。</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3、市场竞争与贸易。（1）贸易与市场竞争关系。（2）贸易竞争的类型。（3）贸易竞争效应分析。</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（四）贸易运行</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1、贸易运行要素。（1）贸易主要运行要素。（2）贸易从业人员数量增多及原因。（3）贸易资本分类及筹集。（4）贸易物质手段及发展趋势。（5）贸易信息分类及特点。</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2、贸易运行环境。（1）贸易运行的经济环境。（2）贸易运行的非经济环境。（3）人口流动对贸易的影响</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lastRenderedPageBreak/>
        <w:t>3、贸易运行机制。（1）贸易运行动力分析。（2）贸易决策机制、约束机制。（3）贸易运行机制的实施条件。</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4、贸易运行规律。（1）贸易网点分布规律。（2）贸易利润分布规律。（3）贸易竞争规律。</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（五）贸易中的流通渠道</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1、流通渠道及其形式。（1）流通渠道的含义和意义。（2）流通渠道的多种形式。（3）产销合一渠道、产销分离渠道与产销结合渠道。（4）自组织渠道与组织化渠道。</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2、流通渠道的经济属性与渠道发展。（1）流通渠道的经济属性。（2）流通渠道的长度、宽度及广度分析。（3）流通渠道的发展。</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3、流通渠道的形成机制与渠道配置。（1）流通渠道的形成机制。（2）流通渠道的影响因素。（3）基于流通渠道的流通网络。（4）流通渠道的配置方式。</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（六）空间贸易</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1、城乡贸易。（1）城乡差别与农村市场的特点。（2） 城乡贸易的物质内容及其演变。（3）城乡贸易的实现方式。（4）我国城乡贸易现状及其改善。</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2、区际贸易。（1）行政区域与经济区域。（2）区际贸易的二重涵义。（3）区际贸易发展的动因。（4）区际贸易发展的层次性。（5）国内统一市场建设。</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lastRenderedPageBreak/>
        <w:t>3、国际贸易。（1）国际贸易与国内贸易的差异。（2）国际贸易格局发展演变。（3）经济全球化加速发展与国际贸易的新趋势。（4）后金融危机阶段的中国贸易。（5）发展我国国际贸易的对策。</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（七）分类贸易</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1、贸易行业与贸易分类。</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2、商品贸易。（1）商品的类型。（2）商品贸易的基本类型。</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3、生产要素贸易。（1）资本贸易。（2）劳动力贸易。（3）技术、信息贸易。（4）房地产贸易。</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4、服务贸易。（1）服务贸易的涵义、种类及特点。（2）影响服务贸易发展的因素。（3）当代国际服务贸易发展的特点。（4）中国服务贸易的发展。</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（八）批发贸易</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1、批发贸易的涵义、类型与特点。</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2、批发贸易的功能和制约因素。（1）批发贸易的职能。（2）批发贸易的作用。（3）影响批发贸易的因素。</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3、批发交易组织。（1）批发交易组织的涵义、功能与类型。（2）批发市场与批发贸易中心。（3）商品交易所。</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（九）零售贸易</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1、零售贸易与零售业。（1）零售贸易的涵义与特点。（2）零售贸易的功能。（3）零售商与零售业。（4）零售贸易中的经济关系。</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lastRenderedPageBreak/>
        <w:t>2、零售贸易的业态。（1）零售业态的涵义。（2）零售业态的构成要素。（3）零售业态的外在表现形式。（4）零售业态的类型及分类规范。（5）零售业态演化的理论学说。</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3、零售贸易的发展。（1）零售的四次革命。（2）零售贸易的发展趋势。</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（十）期货贸易</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1、期货贸易涵义与功能。（1）期货贸易与现货贸易关系。（2）期货贸易与远期贸易关系。（3）期货贸易的特点。（4）期货贸易的产生与发展。（5）期货贸易的功能。</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2、期货贸易组织。（1）期货交易所。（2）期货经纪机构。（3）期货贸易者。</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3、期货贸易流程。</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（十一）网络贸易</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 xml:space="preserve"> 1、网络贸易的含义和模式。（1）网络贸易的含义和内涵。（2）网络贸易的特点。（3）网络贸易的模式。</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2、网络贸易的功能。（1）网络贸易的基本功能。（2）网络贸易的经济功能。（3）网络贸易的管理功能。</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3、网络贸易的交易流程。（1）网络贸易的一般交易流程。（2）主要电子商务模式的交易流程。</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4、网络贸易的发展。（1）网络贸易的发展历程。（2）网络贸易的发展现状。（3）网络贸易的发展趋势。</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（十二）物流服务贸易</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lastRenderedPageBreak/>
        <w:t>1、贸易中的商流和物流。（1）贸易中商流与物流的结合。（2）现代贸易中物流的特征。</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2、现代贸易物流服务模式。（1）电子商务物流服务模式。（2）共同配送物流服务模式。（3）区域批发市场物流服务模式。（4）第四方物流服务模式。（5）绿色物流服务模式。（6）期货贸易的物流服务模式。</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3、物流服务贸易的发展。（1）物流服务贸易的发展及作用。（2）物流服务的主要交易方式。（3）物流服务贸易方式的发展。</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（十三）贸易现代化</w:t>
      </w:r>
    </w:p>
    <w:p w:rsidR="00500BA1" w:rsidRDefault="00684012">
      <w:pPr>
        <w:spacing w:line="500" w:lineRule="exact"/>
        <w:ind w:firstLine="645"/>
        <w:rPr>
          <w:rFonts w:ascii="仿宋" w:eastAsia="仿宋" w:hAnsi="仿宋" w:cs="仿宋"/>
          <w:sz w:val="28"/>
          <w:szCs w:val="28"/>
          <w:lang w:bidi="hi-IN"/>
        </w:rPr>
      </w:pPr>
      <w:r>
        <w:rPr>
          <w:rFonts w:ascii="仿宋" w:eastAsia="仿宋" w:hAnsi="仿宋" w:cs="仿宋" w:hint="eastAsia"/>
          <w:sz w:val="28"/>
          <w:szCs w:val="28"/>
          <w:lang w:bidi="hi-IN"/>
        </w:rPr>
        <w:t>1、贸易现代化的内涵及意义。</w:t>
      </w:r>
    </w:p>
    <w:p w:rsidR="00500BA1" w:rsidRDefault="00684012">
      <w:pPr>
        <w:spacing w:line="500" w:lineRule="exact"/>
        <w:ind w:firstLine="645"/>
        <w:rPr>
          <w:rFonts w:ascii="仿宋" w:eastAsia="仿宋" w:hAnsi="仿宋" w:cs="仿宋"/>
          <w:sz w:val="28"/>
          <w:szCs w:val="28"/>
          <w:lang w:bidi="hi-IN"/>
        </w:rPr>
      </w:pPr>
      <w:r>
        <w:rPr>
          <w:rFonts w:ascii="仿宋" w:eastAsia="仿宋" w:hAnsi="仿宋" w:cs="仿宋" w:hint="eastAsia"/>
          <w:sz w:val="28"/>
          <w:szCs w:val="28"/>
          <w:lang w:bidi="hi-IN"/>
        </w:rPr>
        <w:t>2、贸易现代化的内容及实现途径。</w:t>
      </w:r>
    </w:p>
    <w:p w:rsidR="00500BA1" w:rsidRDefault="00684012">
      <w:pPr>
        <w:spacing w:line="500" w:lineRule="exact"/>
        <w:ind w:firstLine="645"/>
        <w:rPr>
          <w:rFonts w:ascii="仿宋" w:eastAsia="仿宋" w:hAnsi="仿宋" w:cs="仿宋"/>
          <w:sz w:val="28"/>
          <w:szCs w:val="28"/>
          <w:lang w:bidi="hi-IN"/>
        </w:rPr>
      </w:pPr>
      <w:r>
        <w:rPr>
          <w:rFonts w:ascii="仿宋" w:eastAsia="仿宋" w:hAnsi="仿宋" w:cs="仿宋" w:hint="eastAsia"/>
          <w:sz w:val="28"/>
          <w:szCs w:val="28"/>
          <w:lang w:bidi="hi-IN"/>
        </w:rPr>
        <w:t>3、贸易现代化的主要趋势。</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（十四）贸易宏观调控</w:t>
      </w:r>
    </w:p>
    <w:p w:rsidR="00500BA1" w:rsidRDefault="00684012">
      <w:pPr>
        <w:spacing w:line="500" w:lineRule="exact"/>
        <w:ind w:firstLine="645"/>
        <w:rPr>
          <w:rFonts w:ascii="仿宋" w:eastAsia="仿宋" w:hAnsi="仿宋" w:cs="仿宋"/>
          <w:sz w:val="28"/>
          <w:szCs w:val="28"/>
          <w:lang w:bidi="hi-IN"/>
        </w:rPr>
      </w:pPr>
      <w:r>
        <w:rPr>
          <w:rFonts w:ascii="仿宋" w:eastAsia="仿宋" w:hAnsi="仿宋" w:cs="仿宋" w:hint="eastAsia"/>
          <w:sz w:val="28"/>
          <w:szCs w:val="28"/>
          <w:lang w:bidi="hi-IN"/>
        </w:rPr>
        <w:t>1、贸易宏观调控的必要性及层次。</w:t>
      </w:r>
    </w:p>
    <w:p w:rsidR="00500BA1" w:rsidRDefault="00684012">
      <w:pPr>
        <w:spacing w:line="500" w:lineRule="exact"/>
        <w:ind w:firstLine="645"/>
        <w:rPr>
          <w:rFonts w:ascii="仿宋" w:eastAsia="仿宋" w:hAnsi="仿宋" w:cs="仿宋"/>
          <w:sz w:val="28"/>
          <w:szCs w:val="28"/>
          <w:lang w:bidi="hi-IN"/>
        </w:rPr>
      </w:pPr>
      <w:r>
        <w:rPr>
          <w:rFonts w:ascii="仿宋" w:eastAsia="仿宋" w:hAnsi="仿宋" w:cs="仿宋" w:hint="eastAsia"/>
          <w:sz w:val="28"/>
          <w:szCs w:val="28"/>
          <w:lang w:bidi="hi-IN"/>
        </w:rPr>
        <w:t>2、贸易宏观调控的主要目标。</w:t>
      </w:r>
    </w:p>
    <w:p w:rsidR="00500BA1" w:rsidRDefault="00684012">
      <w:pPr>
        <w:spacing w:line="500" w:lineRule="exact"/>
        <w:ind w:firstLine="645"/>
        <w:rPr>
          <w:rFonts w:ascii="仿宋" w:eastAsia="仿宋" w:hAnsi="仿宋" w:cs="仿宋"/>
          <w:sz w:val="28"/>
          <w:szCs w:val="28"/>
          <w:lang w:bidi="hi-IN"/>
        </w:rPr>
      </w:pPr>
      <w:r>
        <w:rPr>
          <w:rFonts w:ascii="仿宋" w:eastAsia="仿宋" w:hAnsi="仿宋" w:cs="仿宋" w:hint="eastAsia"/>
          <w:sz w:val="28"/>
          <w:szCs w:val="28"/>
          <w:lang w:bidi="hi-IN"/>
        </w:rPr>
        <w:t>3、贸易调控体系。（1）贸易调控的主要手段。（2）贸易规制。</w:t>
      </w:r>
    </w:p>
    <w:p w:rsidR="00500BA1" w:rsidRDefault="00500BA1">
      <w:pPr>
        <w:spacing w:line="500" w:lineRule="exact"/>
        <w:ind w:firstLine="645"/>
        <w:rPr>
          <w:rFonts w:ascii="仿宋" w:eastAsia="仿宋" w:hAnsi="仿宋" w:cs="仿宋"/>
          <w:sz w:val="28"/>
          <w:szCs w:val="28"/>
          <w:lang w:bidi="hi-IN"/>
        </w:rPr>
      </w:pPr>
    </w:p>
    <w:sectPr w:rsidR="00500BA1">
      <w:footerReference w:type="default" r:id="rId6"/>
      <w:pgSz w:w="12240" w:h="15840"/>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0F1C" w:rsidRDefault="004F0F1C">
      <w:pPr>
        <w:spacing w:line="240" w:lineRule="auto"/>
      </w:pPr>
      <w:r>
        <w:separator/>
      </w:r>
    </w:p>
  </w:endnote>
  <w:endnote w:type="continuationSeparator" w:id="0">
    <w:p w:rsidR="004F0F1C" w:rsidRDefault="004F0F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BA1" w:rsidRDefault="00684012">
    <w:pPr>
      <w:pStyle w:val="a7"/>
    </w:pPr>
    <w:r>
      <w:fldChar w:fldCharType="begin"/>
    </w:r>
    <w:r>
      <w:instrText>PAGE   \* MERGEFORMAT</w:instrText>
    </w:r>
    <w:r>
      <w:fldChar w:fldCharType="separate"/>
    </w:r>
    <w:r w:rsidR="00F05127" w:rsidRPr="00F05127">
      <w:rPr>
        <w:noProof/>
        <w:lang w:val="zh-CN"/>
      </w:rPr>
      <w:t>1</w:t>
    </w:r>
    <w:r>
      <w:rPr>
        <w:lang w:val="zh-CN"/>
      </w:rPr>
      <w:fldChar w:fldCharType="end"/>
    </w:r>
  </w:p>
  <w:p w:rsidR="00500BA1" w:rsidRDefault="00500BA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0F1C" w:rsidRDefault="004F0F1C">
      <w:pPr>
        <w:spacing w:after="0"/>
      </w:pPr>
      <w:r>
        <w:separator/>
      </w:r>
    </w:p>
  </w:footnote>
  <w:footnote w:type="continuationSeparator" w:id="0">
    <w:p w:rsidR="004F0F1C" w:rsidRDefault="004F0F1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5A3949"/>
    <w:rsid w:val="000135B8"/>
    <w:rsid w:val="00021238"/>
    <w:rsid w:val="00027EE0"/>
    <w:rsid w:val="0003131A"/>
    <w:rsid w:val="000369B0"/>
    <w:rsid w:val="000404AC"/>
    <w:rsid w:val="000574D6"/>
    <w:rsid w:val="000665D5"/>
    <w:rsid w:val="00066DD6"/>
    <w:rsid w:val="0007669B"/>
    <w:rsid w:val="0007794D"/>
    <w:rsid w:val="00080DEB"/>
    <w:rsid w:val="000814E3"/>
    <w:rsid w:val="00087C21"/>
    <w:rsid w:val="00087F52"/>
    <w:rsid w:val="00091710"/>
    <w:rsid w:val="000A020D"/>
    <w:rsid w:val="000A1B7D"/>
    <w:rsid w:val="000A2F11"/>
    <w:rsid w:val="000D28D4"/>
    <w:rsid w:val="000E35BF"/>
    <w:rsid w:val="000E421D"/>
    <w:rsid w:val="000E6F3F"/>
    <w:rsid w:val="00111AB1"/>
    <w:rsid w:val="00116C74"/>
    <w:rsid w:val="001330D7"/>
    <w:rsid w:val="0013334D"/>
    <w:rsid w:val="001725C3"/>
    <w:rsid w:val="00181158"/>
    <w:rsid w:val="00190665"/>
    <w:rsid w:val="00194889"/>
    <w:rsid w:val="001A6161"/>
    <w:rsid w:val="001D0A89"/>
    <w:rsid w:val="001D3689"/>
    <w:rsid w:val="00212456"/>
    <w:rsid w:val="0021792D"/>
    <w:rsid w:val="00226C83"/>
    <w:rsid w:val="002412B0"/>
    <w:rsid w:val="002504ED"/>
    <w:rsid w:val="00251CBC"/>
    <w:rsid w:val="00255B84"/>
    <w:rsid w:val="00256855"/>
    <w:rsid w:val="00261938"/>
    <w:rsid w:val="00263EE8"/>
    <w:rsid w:val="00273341"/>
    <w:rsid w:val="002A1D2E"/>
    <w:rsid w:val="002A4BBD"/>
    <w:rsid w:val="002B1A41"/>
    <w:rsid w:val="002B5AE5"/>
    <w:rsid w:val="002C6E8E"/>
    <w:rsid w:val="002E4FFD"/>
    <w:rsid w:val="002F6261"/>
    <w:rsid w:val="00306DC0"/>
    <w:rsid w:val="00312547"/>
    <w:rsid w:val="00331D6D"/>
    <w:rsid w:val="003419B0"/>
    <w:rsid w:val="00356899"/>
    <w:rsid w:val="00381F12"/>
    <w:rsid w:val="00397EC5"/>
    <w:rsid w:val="003B4B08"/>
    <w:rsid w:val="003B67BC"/>
    <w:rsid w:val="003D19FF"/>
    <w:rsid w:val="003D7241"/>
    <w:rsid w:val="003E1869"/>
    <w:rsid w:val="003F5BDB"/>
    <w:rsid w:val="004072EC"/>
    <w:rsid w:val="004131E4"/>
    <w:rsid w:val="0044194A"/>
    <w:rsid w:val="0044507E"/>
    <w:rsid w:val="00447FC9"/>
    <w:rsid w:val="004619CB"/>
    <w:rsid w:val="004717D5"/>
    <w:rsid w:val="0047297F"/>
    <w:rsid w:val="00497647"/>
    <w:rsid w:val="004E5087"/>
    <w:rsid w:val="004E693C"/>
    <w:rsid w:val="004F0F1C"/>
    <w:rsid w:val="004F2B32"/>
    <w:rsid w:val="004F36BB"/>
    <w:rsid w:val="004F4767"/>
    <w:rsid w:val="00500BA1"/>
    <w:rsid w:val="005069B6"/>
    <w:rsid w:val="005253BD"/>
    <w:rsid w:val="00544686"/>
    <w:rsid w:val="005A3949"/>
    <w:rsid w:val="005A4DBD"/>
    <w:rsid w:val="005B2C55"/>
    <w:rsid w:val="005E03E3"/>
    <w:rsid w:val="005E096C"/>
    <w:rsid w:val="005E1552"/>
    <w:rsid w:val="005E5CB7"/>
    <w:rsid w:val="005F39CE"/>
    <w:rsid w:val="005F3C29"/>
    <w:rsid w:val="006058C3"/>
    <w:rsid w:val="006477DA"/>
    <w:rsid w:val="00651F88"/>
    <w:rsid w:val="006541B0"/>
    <w:rsid w:val="00672539"/>
    <w:rsid w:val="00673670"/>
    <w:rsid w:val="00676AE8"/>
    <w:rsid w:val="00684012"/>
    <w:rsid w:val="00686D22"/>
    <w:rsid w:val="006A4B33"/>
    <w:rsid w:val="006C5124"/>
    <w:rsid w:val="006D3662"/>
    <w:rsid w:val="006D6807"/>
    <w:rsid w:val="006D7798"/>
    <w:rsid w:val="006D7990"/>
    <w:rsid w:val="006F1EED"/>
    <w:rsid w:val="007056C2"/>
    <w:rsid w:val="007149D2"/>
    <w:rsid w:val="00726B6E"/>
    <w:rsid w:val="007341F8"/>
    <w:rsid w:val="00750094"/>
    <w:rsid w:val="00755FC7"/>
    <w:rsid w:val="00756BAF"/>
    <w:rsid w:val="0078534B"/>
    <w:rsid w:val="007A10E6"/>
    <w:rsid w:val="007A4B18"/>
    <w:rsid w:val="007D52ED"/>
    <w:rsid w:val="007E11BB"/>
    <w:rsid w:val="007E45B8"/>
    <w:rsid w:val="007E5579"/>
    <w:rsid w:val="008050E5"/>
    <w:rsid w:val="008067F6"/>
    <w:rsid w:val="00832019"/>
    <w:rsid w:val="0083746E"/>
    <w:rsid w:val="0085155E"/>
    <w:rsid w:val="00852EEF"/>
    <w:rsid w:val="00856D27"/>
    <w:rsid w:val="00873234"/>
    <w:rsid w:val="00875922"/>
    <w:rsid w:val="0088452C"/>
    <w:rsid w:val="008861EA"/>
    <w:rsid w:val="008972FA"/>
    <w:rsid w:val="008C347D"/>
    <w:rsid w:val="008D2A76"/>
    <w:rsid w:val="008E3978"/>
    <w:rsid w:val="008E4172"/>
    <w:rsid w:val="008F108C"/>
    <w:rsid w:val="008F55BE"/>
    <w:rsid w:val="008F5CA7"/>
    <w:rsid w:val="00912FCF"/>
    <w:rsid w:val="0091463D"/>
    <w:rsid w:val="009240E5"/>
    <w:rsid w:val="00924BB1"/>
    <w:rsid w:val="00933BA5"/>
    <w:rsid w:val="009364D1"/>
    <w:rsid w:val="00950916"/>
    <w:rsid w:val="0095490F"/>
    <w:rsid w:val="00963341"/>
    <w:rsid w:val="00964B39"/>
    <w:rsid w:val="00981531"/>
    <w:rsid w:val="00981B5F"/>
    <w:rsid w:val="009A7BF2"/>
    <w:rsid w:val="009C21CA"/>
    <w:rsid w:val="009D15F9"/>
    <w:rsid w:val="009F7B87"/>
    <w:rsid w:val="00A24DE0"/>
    <w:rsid w:val="00A33BE7"/>
    <w:rsid w:val="00A34AFB"/>
    <w:rsid w:val="00A81F8C"/>
    <w:rsid w:val="00A831B2"/>
    <w:rsid w:val="00A86696"/>
    <w:rsid w:val="00A927B5"/>
    <w:rsid w:val="00A93F1E"/>
    <w:rsid w:val="00A97979"/>
    <w:rsid w:val="00AB11D3"/>
    <w:rsid w:val="00AF7E69"/>
    <w:rsid w:val="00B00093"/>
    <w:rsid w:val="00B52ECD"/>
    <w:rsid w:val="00B62D5D"/>
    <w:rsid w:val="00B64F13"/>
    <w:rsid w:val="00B806D4"/>
    <w:rsid w:val="00B94222"/>
    <w:rsid w:val="00B95084"/>
    <w:rsid w:val="00BA641D"/>
    <w:rsid w:val="00BB293D"/>
    <w:rsid w:val="00BB5CE8"/>
    <w:rsid w:val="00BE1D99"/>
    <w:rsid w:val="00C3760E"/>
    <w:rsid w:val="00C42928"/>
    <w:rsid w:val="00C47D48"/>
    <w:rsid w:val="00C57A4E"/>
    <w:rsid w:val="00C60278"/>
    <w:rsid w:val="00C60B53"/>
    <w:rsid w:val="00C73154"/>
    <w:rsid w:val="00C84187"/>
    <w:rsid w:val="00C86964"/>
    <w:rsid w:val="00C920EA"/>
    <w:rsid w:val="00C93F6C"/>
    <w:rsid w:val="00CA00D4"/>
    <w:rsid w:val="00CA7590"/>
    <w:rsid w:val="00CB2CFE"/>
    <w:rsid w:val="00CB3CE4"/>
    <w:rsid w:val="00CB72BA"/>
    <w:rsid w:val="00CB74AE"/>
    <w:rsid w:val="00CC0CEF"/>
    <w:rsid w:val="00CC411A"/>
    <w:rsid w:val="00CD01D2"/>
    <w:rsid w:val="00CD503D"/>
    <w:rsid w:val="00CD63B4"/>
    <w:rsid w:val="00CE7EE4"/>
    <w:rsid w:val="00CF5308"/>
    <w:rsid w:val="00CF61EB"/>
    <w:rsid w:val="00CF6AEA"/>
    <w:rsid w:val="00D01786"/>
    <w:rsid w:val="00D4633B"/>
    <w:rsid w:val="00D46D3E"/>
    <w:rsid w:val="00D46DA8"/>
    <w:rsid w:val="00D5014E"/>
    <w:rsid w:val="00D506E1"/>
    <w:rsid w:val="00D568A1"/>
    <w:rsid w:val="00D62ED6"/>
    <w:rsid w:val="00D67CD6"/>
    <w:rsid w:val="00D94645"/>
    <w:rsid w:val="00DA0D1B"/>
    <w:rsid w:val="00DA6CD4"/>
    <w:rsid w:val="00DB2E24"/>
    <w:rsid w:val="00DC1DFD"/>
    <w:rsid w:val="00DC3951"/>
    <w:rsid w:val="00DC5F02"/>
    <w:rsid w:val="00DE1D6E"/>
    <w:rsid w:val="00DE445D"/>
    <w:rsid w:val="00DE7C20"/>
    <w:rsid w:val="00DF040D"/>
    <w:rsid w:val="00DF14D2"/>
    <w:rsid w:val="00E11186"/>
    <w:rsid w:val="00E23DEB"/>
    <w:rsid w:val="00E4469A"/>
    <w:rsid w:val="00E65E3D"/>
    <w:rsid w:val="00E708D7"/>
    <w:rsid w:val="00E973C5"/>
    <w:rsid w:val="00EB1965"/>
    <w:rsid w:val="00EC4525"/>
    <w:rsid w:val="00EE7907"/>
    <w:rsid w:val="00F05127"/>
    <w:rsid w:val="00F2439C"/>
    <w:rsid w:val="00F2684D"/>
    <w:rsid w:val="00F308D9"/>
    <w:rsid w:val="00F36A83"/>
    <w:rsid w:val="00F7013B"/>
    <w:rsid w:val="00F7181C"/>
    <w:rsid w:val="00F7387A"/>
    <w:rsid w:val="00F8073B"/>
    <w:rsid w:val="00F82C7E"/>
    <w:rsid w:val="00F94676"/>
    <w:rsid w:val="00F94792"/>
    <w:rsid w:val="00F97D3C"/>
    <w:rsid w:val="00FA2AAD"/>
    <w:rsid w:val="00FB5002"/>
    <w:rsid w:val="00FC1F53"/>
    <w:rsid w:val="00FC1FFC"/>
    <w:rsid w:val="00FC356E"/>
    <w:rsid w:val="00FD3FE2"/>
    <w:rsid w:val="00FD4975"/>
    <w:rsid w:val="00FE4CD9"/>
    <w:rsid w:val="00FE7B04"/>
    <w:rsid w:val="00FF3806"/>
    <w:rsid w:val="00FF652E"/>
    <w:rsid w:val="09A23EE1"/>
    <w:rsid w:val="0E9C041D"/>
    <w:rsid w:val="1B063828"/>
    <w:rsid w:val="30E6423E"/>
    <w:rsid w:val="55887047"/>
    <w:rsid w:val="58046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908521"/>
  <w15:docId w15:val="{4A8EF8AA-2D85-4F71-9248-F679692EF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Pr>
      <w:sz w:val="20"/>
      <w:szCs w:val="20"/>
    </w:rPr>
  </w:style>
  <w:style w:type="paragraph" w:styleId="a5">
    <w:name w:val="Balloon Text"/>
    <w:basedOn w:val="a"/>
    <w:link w:val="a6"/>
    <w:uiPriority w:val="99"/>
    <w:semiHidden/>
    <w:unhideWhenUsed/>
    <w:pPr>
      <w:spacing w:after="0" w:line="240" w:lineRule="auto"/>
    </w:pPr>
    <w:rPr>
      <w:rFonts w:ascii="微软雅黑" w:eastAsia="微软雅黑"/>
      <w:sz w:val="18"/>
      <w:szCs w:val="18"/>
    </w:rPr>
  </w:style>
  <w:style w:type="paragraph" w:styleId="a7">
    <w:name w:val="footer"/>
    <w:basedOn w:val="a"/>
    <w:link w:val="a8"/>
    <w:uiPriority w:val="99"/>
    <w:unhideWhenUsed/>
    <w:pPr>
      <w:tabs>
        <w:tab w:val="center" w:pos="4680"/>
        <w:tab w:val="right" w:pos="9360"/>
      </w:tabs>
      <w:spacing w:after="0" w:line="240" w:lineRule="auto"/>
    </w:pPr>
  </w:style>
  <w:style w:type="paragraph" w:styleId="a9">
    <w:name w:val="header"/>
    <w:basedOn w:val="a"/>
    <w:link w:val="aa"/>
    <w:uiPriority w:val="99"/>
    <w:unhideWhenUsed/>
    <w:qFormat/>
    <w:pPr>
      <w:tabs>
        <w:tab w:val="center" w:pos="4680"/>
        <w:tab w:val="right" w:pos="9360"/>
      </w:tabs>
      <w:spacing w:after="0" w:line="240" w:lineRule="auto"/>
    </w:pPr>
  </w:style>
  <w:style w:type="paragraph" w:styleId="ab">
    <w:name w:val="annotation subject"/>
    <w:basedOn w:val="a3"/>
    <w:next w:val="a3"/>
    <w:link w:val="ac"/>
    <w:uiPriority w:val="99"/>
    <w:semiHidden/>
    <w:unhideWhenUsed/>
    <w:rPr>
      <w:b/>
      <w:bCs/>
    </w:rPr>
  </w:style>
  <w:style w:type="character" w:styleId="ad">
    <w:name w:val="Hyperlink"/>
    <w:basedOn w:val="a0"/>
    <w:qFormat/>
    <w:rPr>
      <w:color w:val="0000FF"/>
      <w:u w:val="single"/>
    </w:rPr>
  </w:style>
  <w:style w:type="character" w:styleId="ae">
    <w:name w:val="annotation reference"/>
    <w:uiPriority w:val="99"/>
    <w:semiHidden/>
    <w:unhideWhenUsed/>
    <w:qFormat/>
    <w:rPr>
      <w:sz w:val="16"/>
      <w:szCs w:val="16"/>
    </w:rPr>
  </w:style>
  <w:style w:type="character" w:customStyle="1" w:styleId="aa">
    <w:name w:val="页眉 字符"/>
    <w:basedOn w:val="a0"/>
    <w:link w:val="a9"/>
    <w:uiPriority w:val="99"/>
    <w:qFormat/>
  </w:style>
  <w:style w:type="character" w:customStyle="1" w:styleId="a8">
    <w:name w:val="页脚 字符"/>
    <w:basedOn w:val="a0"/>
    <w:link w:val="a7"/>
    <w:uiPriority w:val="99"/>
    <w:qFormat/>
  </w:style>
  <w:style w:type="character" w:customStyle="1" w:styleId="a4">
    <w:name w:val="批注文字 字符"/>
    <w:basedOn w:val="a0"/>
    <w:link w:val="a3"/>
    <w:uiPriority w:val="99"/>
    <w:semiHidden/>
    <w:qFormat/>
  </w:style>
  <w:style w:type="character" w:customStyle="1" w:styleId="ac">
    <w:name w:val="批注主题 字符"/>
    <w:link w:val="ab"/>
    <w:uiPriority w:val="99"/>
    <w:semiHidden/>
    <w:qFormat/>
    <w:rPr>
      <w:b/>
      <w:bCs/>
    </w:rPr>
  </w:style>
  <w:style w:type="character" w:customStyle="1" w:styleId="a6">
    <w:name w:val="批注框文本 字符"/>
    <w:link w:val="a5"/>
    <w:uiPriority w:val="99"/>
    <w:semiHidden/>
    <w:qFormat/>
    <w:rPr>
      <w:rFonts w:ascii="微软雅黑" w:eastAsia="微软雅黑"/>
      <w:sz w:val="18"/>
      <w:szCs w:val="18"/>
    </w:rPr>
  </w:style>
  <w:style w:type="character" w:customStyle="1" w:styleId="Char">
    <w:name w:val="大纲正文 Char"/>
    <w:basedOn w:val="a0"/>
    <w:link w:val="af"/>
    <w:qFormat/>
    <w:locked/>
    <w:rPr>
      <w:rFonts w:ascii="宋体" w:eastAsia="宋体" w:hAnsi="宋体"/>
      <w:color w:val="000000"/>
      <w:kern w:val="2"/>
      <w:sz w:val="24"/>
      <w:szCs w:val="24"/>
      <w:lang w:val="en-US" w:eastAsia="zh-CN" w:bidi="ar-SA"/>
    </w:rPr>
  </w:style>
  <w:style w:type="paragraph" w:customStyle="1" w:styleId="af">
    <w:name w:val="大纲正文"/>
    <w:basedOn w:val="a"/>
    <w:link w:val="Char"/>
    <w:qFormat/>
    <w:pPr>
      <w:widowControl w:val="0"/>
      <w:spacing w:after="0" w:line="400" w:lineRule="exact"/>
      <w:ind w:firstLineChars="200" w:firstLine="200"/>
      <w:jc w:val="both"/>
    </w:pPr>
    <w:rPr>
      <w:rFonts w:ascii="宋体" w:hAnsi="宋体"/>
      <w:color w:val="000000"/>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374</Words>
  <Characters>2138</Characters>
  <Application>Microsoft Office Word</Application>
  <DocSecurity>0</DocSecurity>
  <Lines>17</Lines>
  <Paragraphs>5</Paragraphs>
  <ScaleCrop>false</ScaleCrop>
  <Company>Microsoft</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西方经济学部分</dc:title>
  <dc:creator>Jianjiang</dc:creator>
  <cp:lastModifiedBy>周怡年</cp:lastModifiedBy>
  <cp:revision>6</cp:revision>
  <dcterms:created xsi:type="dcterms:W3CDTF">2016-05-17T10:46:00Z</dcterms:created>
  <dcterms:modified xsi:type="dcterms:W3CDTF">2023-06-21T00:37:00Z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2052-11.1.0.11636</vt:lpwstr>
  </property>
  <property fmtid="{D5CDD505-2E9C-101B-9397-08002B2CF9AE}" pid="4" name="ICV">
    <vt:lpwstr>5CF5E3C21A694E25B7E9D9B77948EE49</vt:lpwstr>
  </property>
  <property fmtid="{D5CDD505-2E9C-101B-9397-08002B2CF9AE}" pid="5" name="commondata">
    <vt:lpwstr>eyJoZGlkIjoiNWE0NGRkM2ZhZTRmNmFmZGRjNzI5OTA3MDQ3ZGM3ZjQifQ==</vt:lpwstr>
  </property>
</Properties>
</file>